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26" w:rsidRPr="008A3E26" w:rsidRDefault="008A3E26" w:rsidP="008A3E26">
      <w:pPr>
        <w:spacing w:before="240" w:after="240" w:line="312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01548A"/>
          <w:kern w:val="36"/>
          <w:sz w:val="41"/>
          <w:szCs w:val="41"/>
          <w:lang w:eastAsia="it-IT"/>
        </w:rPr>
      </w:pPr>
      <w:proofErr w:type="spellStart"/>
      <w:r w:rsidRPr="008A3E26">
        <w:rPr>
          <w:rFonts w:ascii="Tahoma" w:eastAsia="Times New Roman" w:hAnsi="Tahoma" w:cs="Tahoma"/>
          <w:b/>
          <w:bCs/>
          <w:color w:val="01548A"/>
          <w:kern w:val="36"/>
          <w:sz w:val="41"/>
          <w:szCs w:val="41"/>
          <w:lang w:eastAsia="it-IT"/>
        </w:rPr>
        <w:t>What’s</w:t>
      </w:r>
      <w:proofErr w:type="spellEnd"/>
      <w:r w:rsidRPr="008A3E26">
        <w:rPr>
          <w:rFonts w:ascii="Tahoma" w:eastAsia="Times New Roman" w:hAnsi="Tahoma" w:cs="Tahoma"/>
          <w:b/>
          <w:bCs/>
          <w:color w:val="01548A"/>
          <w:kern w:val="36"/>
          <w:sz w:val="41"/>
          <w:szCs w:val="41"/>
          <w:lang w:eastAsia="it-IT"/>
        </w:rPr>
        <w:t xml:space="preserve"> </w:t>
      </w:r>
      <w:proofErr w:type="spellStart"/>
      <w:r w:rsidRPr="008A3E26">
        <w:rPr>
          <w:rFonts w:ascii="Tahoma" w:eastAsia="Times New Roman" w:hAnsi="Tahoma" w:cs="Tahoma"/>
          <w:b/>
          <w:bCs/>
          <w:color w:val="01548A"/>
          <w:kern w:val="36"/>
          <w:sz w:val="41"/>
          <w:szCs w:val="41"/>
          <w:lang w:eastAsia="it-IT"/>
        </w:rPr>
        <w:t>your</w:t>
      </w:r>
      <w:proofErr w:type="spellEnd"/>
      <w:r w:rsidRPr="008A3E26">
        <w:rPr>
          <w:rFonts w:ascii="Tahoma" w:eastAsia="Times New Roman" w:hAnsi="Tahoma" w:cs="Tahoma"/>
          <w:b/>
          <w:bCs/>
          <w:color w:val="01548A"/>
          <w:kern w:val="36"/>
          <w:sz w:val="41"/>
          <w:szCs w:val="41"/>
          <w:lang w:eastAsia="it-IT"/>
        </w:rPr>
        <w:t xml:space="preserve"> (</w:t>
      </w:r>
      <w:proofErr w:type="spellStart"/>
      <w:r w:rsidRPr="008A3E26">
        <w:rPr>
          <w:rFonts w:ascii="Tahoma" w:eastAsia="Times New Roman" w:hAnsi="Tahoma" w:cs="Tahoma"/>
          <w:b/>
          <w:bCs/>
          <w:color w:val="01548A"/>
          <w:kern w:val="36"/>
          <w:sz w:val="41"/>
          <w:szCs w:val="41"/>
          <w:lang w:eastAsia="it-IT"/>
        </w:rPr>
        <w:t>sur</w:t>
      </w:r>
      <w:proofErr w:type="spellEnd"/>
      <w:r w:rsidRPr="008A3E26">
        <w:rPr>
          <w:rFonts w:ascii="Tahoma" w:eastAsia="Times New Roman" w:hAnsi="Tahoma" w:cs="Tahoma"/>
          <w:b/>
          <w:bCs/>
          <w:color w:val="01548A"/>
          <w:kern w:val="36"/>
          <w:sz w:val="41"/>
          <w:szCs w:val="41"/>
          <w:lang w:eastAsia="it-IT"/>
        </w:rPr>
        <w:t>)</w:t>
      </w:r>
      <w:proofErr w:type="spellStart"/>
      <w:r w:rsidRPr="008A3E26">
        <w:rPr>
          <w:rFonts w:ascii="Tahoma" w:eastAsia="Times New Roman" w:hAnsi="Tahoma" w:cs="Tahoma"/>
          <w:b/>
          <w:bCs/>
          <w:color w:val="01548A"/>
          <w:kern w:val="36"/>
          <w:sz w:val="41"/>
          <w:szCs w:val="41"/>
          <w:lang w:eastAsia="it-IT"/>
        </w:rPr>
        <w:t>name</w:t>
      </w:r>
      <w:proofErr w:type="spellEnd"/>
      <w:r w:rsidRPr="008A3E26">
        <w:rPr>
          <w:rFonts w:ascii="Tahoma" w:eastAsia="Times New Roman" w:hAnsi="Tahoma" w:cs="Tahoma"/>
          <w:b/>
          <w:bCs/>
          <w:color w:val="01548A"/>
          <w:kern w:val="36"/>
          <w:sz w:val="41"/>
          <w:szCs w:val="41"/>
          <w:lang w:eastAsia="it-IT"/>
        </w:rPr>
        <w:t xml:space="preserve">? </w:t>
      </w:r>
      <w:proofErr w:type="spellStart"/>
      <w:r w:rsidRPr="008A3E26">
        <w:rPr>
          <w:rFonts w:ascii="Tahoma" w:eastAsia="Times New Roman" w:hAnsi="Tahoma" w:cs="Tahoma"/>
          <w:b/>
          <w:bCs/>
          <w:color w:val="01548A"/>
          <w:kern w:val="36"/>
          <w:sz w:val="41"/>
          <w:szCs w:val="41"/>
          <w:lang w:eastAsia="it-IT"/>
        </w:rPr>
        <w:t>Intergenerational</w:t>
      </w:r>
      <w:proofErr w:type="spellEnd"/>
      <w:r w:rsidRPr="008A3E26">
        <w:rPr>
          <w:rFonts w:ascii="Tahoma" w:eastAsia="Times New Roman" w:hAnsi="Tahoma" w:cs="Tahoma"/>
          <w:b/>
          <w:bCs/>
          <w:color w:val="01548A"/>
          <w:kern w:val="36"/>
          <w:sz w:val="41"/>
          <w:szCs w:val="41"/>
          <w:lang w:eastAsia="it-IT"/>
        </w:rPr>
        <w:t xml:space="preserve"> </w:t>
      </w:r>
      <w:proofErr w:type="spellStart"/>
      <w:r w:rsidRPr="008A3E26">
        <w:rPr>
          <w:rFonts w:ascii="Tahoma" w:eastAsia="Times New Roman" w:hAnsi="Tahoma" w:cs="Tahoma"/>
          <w:b/>
          <w:bCs/>
          <w:color w:val="01548A"/>
          <w:kern w:val="36"/>
          <w:sz w:val="41"/>
          <w:szCs w:val="41"/>
          <w:lang w:eastAsia="it-IT"/>
        </w:rPr>
        <w:t>mobility</w:t>
      </w:r>
      <w:proofErr w:type="spellEnd"/>
      <w:r w:rsidRPr="008A3E26">
        <w:rPr>
          <w:rFonts w:ascii="Tahoma" w:eastAsia="Times New Roman" w:hAnsi="Tahoma" w:cs="Tahoma"/>
          <w:b/>
          <w:bCs/>
          <w:color w:val="01548A"/>
          <w:kern w:val="36"/>
          <w:sz w:val="41"/>
          <w:szCs w:val="41"/>
          <w:lang w:eastAsia="it-IT"/>
        </w:rPr>
        <w:t xml:space="preserve"> over </w:t>
      </w:r>
      <w:proofErr w:type="spellStart"/>
      <w:r w:rsidRPr="008A3E26">
        <w:rPr>
          <w:rFonts w:ascii="Tahoma" w:eastAsia="Times New Roman" w:hAnsi="Tahoma" w:cs="Tahoma"/>
          <w:b/>
          <w:bCs/>
          <w:color w:val="01548A"/>
          <w:kern w:val="36"/>
          <w:sz w:val="41"/>
          <w:szCs w:val="41"/>
          <w:lang w:eastAsia="it-IT"/>
        </w:rPr>
        <w:t>six</w:t>
      </w:r>
      <w:proofErr w:type="spellEnd"/>
      <w:r w:rsidRPr="008A3E26">
        <w:rPr>
          <w:rFonts w:ascii="Tahoma" w:eastAsia="Times New Roman" w:hAnsi="Tahoma" w:cs="Tahoma"/>
          <w:b/>
          <w:bCs/>
          <w:color w:val="01548A"/>
          <w:kern w:val="36"/>
          <w:sz w:val="41"/>
          <w:szCs w:val="41"/>
          <w:lang w:eastAsia="it-IT"/>
        </w:rPr>
        <w:t xml:space="preserve"> </w:t>
      </w:r>
      <w:proofErr w:type="spellStart"/>
      <w:r w:rsidRPr="008A3E26">
        <w:rPr>
          <w:rFonts w:ascii="Tahoma" w:eastAsia="Times New Roman" w:hAnsi="Tahoma" w:cs="Tahoma"/>
          <w:b/>
          <w:bCs/>
          <w:color w:val="01548A"/>
          <w:kern w:val="36"/>
          <w:sz w:val="41"/>
          <w:szCs w:val="41"/>
          <w:lang w:eastAsia="it-IT"/>
        </w:rPr>
        <w:t>centuries</w:t>
      </w:r>
      <w:proofErr w:type="spellEnd"/>
    </w:p>
    <w:p w:rsidR="008A3E26" w:rsidRPr="008A3E26" w:rsidRDefault="008A3E26" w:rsidP="008A3E26">
      <w:pPr>
        <w:shd w:val="clear" w:color="auto" w:fill="FFFFFF"/>
        <w:spacing w:after="0" w:line="319" w:lineRule="atLeast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8A3E26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 xml:space="preserve">Guglielmo Barone, Sauro </w:t>
      </w:r>
      <w:proofErr w:type="spellStart"/>
      <w:r w:rsidRPr="008A3E26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Mocetti</w:t>
      </w:r>
      <w:proofErr w:type="spellEnd"/>
      <w:r w:rsidRPr="008A3E26">
        <w:rPr>
          <w:rFonts w:ascii="Arial" w:eastAsia="Times New Roman" w:hAnsi="Arial" w:cs="Arial"/>
          <w:color w:val="000000"/>
          <w:lang w:eastAsia="it-IT"/>
        </w:rPr>
        <w:t> </w:t>
      </w:r>
      <w:r w:rsidRPr="008A3E26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17 </w:t>
      </w:r>
      <w:proofErr w:type="spellStart"/>
      <w:r w:rsidRPr="008A3E26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May</w:t>
      </w:r>
      <w:proofErr w:type="spellEnd"/>
      <w:r w:rsidRPr="008A3E26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 xml:space="preserve"> 2016</w:t>
      </w:r>
    </w:p>
    <w:p w:rsidR="008A3E26" w:rsidRPr="008A3E26" w:rsidRDefault="008A3E26" w:rsidP="008A3E26">
      <w:pPr>
        <w:spacing w:before="240" w:after="240" w:line="319" w:lineRule="atLeast"/>
        <w:textAlignment w:val="baseline"/>
        <w:rPr>
          <w:rFonts w:ascii="Arial" w:eastAsia="Times New Roman" w:hAnsi="Arial" w:cs="Arial"/>
          <w:i/>
          <w:iCs/>
          <w:color w:val="000000"/>
          <w:lang w:eastAsia="it-IT"/>
        </w:rPr>
      </w:pPr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Societies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characterised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by a high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transmission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of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socioeconomic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status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across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generations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are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not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only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more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likely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to be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perceived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as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‘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unfair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’,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they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may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also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be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less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efficient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as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they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waste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the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skills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of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those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coming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from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disadvantaged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backgrounds.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Existing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evidence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suggests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that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the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related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earnings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advantages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disappear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after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several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generations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.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This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column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challenges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this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view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by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comparing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tax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records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for family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dynasties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(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identified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by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surname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) in Florence,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Italy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in 1427 and 2011. The top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earners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among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the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current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taxpayers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were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found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to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have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already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been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at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the top of the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socioeconomic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ladder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six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centuries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ago.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This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persistence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is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identified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despite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the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huge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political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,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demographic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, and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economic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upheavals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that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occurred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between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the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two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dates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lang w:eastAsia="it-IT"/>
        </w:rPr>
        <w:t>. </w:t>
      </w:r>
    </w:p>
    <w:p w:rsidR="008A3E26" w:rsidRPr="008A3E26" w:rsidRDefault="008A3E26" w:rsidP="008A3E26">
      <w:pPr>
        <w:spacing w:after="120" w:line="31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hyperlink r:id="rId5" w:tgtFrame="_blank" w:tooltip="Più..." w:history="1">
        <w:r w:rsidRPr="008A3E26">
          <w:rPr>
            <w:rFonts w:ascii="Arial" w:eastAsia="Times New Roman" w:hAnsi="Arial" w:cs="Arial"/>
            <w:b/>
            <w:bCs/>
            <w:color w:val="085A92"/>
            <w:sz w:val="24"/>
            <w:szCs w:val="24"/>
            <w:bdr w:val="none" w:sz="0" w:space="0" w:color="auto" w:frame="1"/>
            <w:lang w:eastAsia="it-IT"/>
          </w:rPr>
          <w:t>52</w:t>
        </w:r>
      </w:hyperlink>
    </w:p>
    <w:p w:rsidR="008A3E26" w:rsidRPr="008A3E26" w:rsidRDefault="008A3E26" w:rsidP="008A3E26">
      <w:pPr>
        <w:spacing w:after="0" w:line="319" w:lineRule="atLeast"/>
        <w:textAlignment w:val="baseline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it-IT"/>
        </w:rPr>
      </w:pPr>
      <w:hyperlink r:id="rId6" w:tooltip="Decrease the article font size" w:history="1">
        <w:r w:rsidRPr="008A3E26">
          <w:rPr>
            <w:rFonts w:ascii="Arial" w:eastAsia="Times New Roman" w:hAnsi="Arial" w:cs="Arial"/>
            <w:b/>
            <w:bCs/>
            <w:caps/>
            <w:color w:val="085A92"/>
            <w:sz w:val="24"/>
            <w:szCs w:val="24"/>
            <w:bdr w:val="none" w:sz="0" w:space="0" w:color="auto" w:frame="1"/>
            <w:lang w:eastAsia="it-IT"/>
          </w:rPr>
          <w:t>A</w:t>
        </w:r>
      </w:hyperlink>
    </w:p>
    <w:p w:rsidR="008A3E26" w:rsidRPr="008A3E26" w:rsidRDefault="008A3E26" w:rsidP="008A3E26">
      <w:pPr>
        <w:spacing w:after="0" w:line="319" w:lineRule="atLeast"/>
        <w:textAlignment w:val="baseline"/>
        <w:rPr>
          <w:rFonts w:ascii="Arial" w:eastAsia="Times New Roman" w:hAnsi="Arial" w:cs="Arial"/>
          <w:b/>
          <w:bCs/>
          <w:caps/>
          <w:color w:val="000000"/>
          <w:sz w:val="48"/>
          <w:szCs w:val="48"/>
          <w:lang w:eastAsia="it-IT"/>
        </w:rPr>
      </w:pPr>
      <w:hyperlink r:id="rId7" w:tooltip="Increase the article font size" w:history="1">
        <w:r w:rsidRPr="008A3E26">
          <w:rPr>
            <w:rFonts w:ascii="Arial" w:eastAsia="Times New Roman" w:hAnsi="Arial" w:cs="Arial"/>
            <w:b/>
            <w:bCs/>
            <w:caps/>
            <w:color w:val="085A92"/>
            <w:sz w:val="48"/>
            <w:szCs w:val="48"/>
            <w:bdr w:val="none" w:sz="0" w:space="0" w:color="auto" w:frame="1"/>
            <w:lang w:eastAsia="it-IT"/>
          </w:rPr>
          <w:t>A</w:t>
        </w:r>
      </w:hyperlink>
    </w:p>
    <w:p w:rsidR="008A3E26" w:rsidRPr="008A3E26" w:rsidRDefault="008A3E26" w:rsidP="008A3E26">
      <w:pPr>
        <w:pBdr>
          <w:bottom w:val="single" w:sz="6" w:space="5" w:color="CCCCCC"/>
        </w:pBdr>
        <w:shd w:val="clear" w:color="auto" w:fill="FAFAFA"/>
        <w:spacing w:after="60" w:line="240" w:lineRule="auto"/>
        <w:ind w:left="45" w:right="-105"/>
        <w:textAlignment w:val="baseline"/>
        <w:outlineLvl w:val="3"/>
        <w:rPr>
          <w:rFonts w:ascii="Tahoma" w:eastAsia="Times New Roman" w:hAnsi="Tahoma" w:cs="Tahoma"/>
          <w:b/>
          <w:bCs/>
          <w:color w:val="FF6A12"/>
          <w:sz w:val="19"/>
          <w:szCs w:val="19"/>
          <w:lang w:eastAsia="it-IT"/>
        </w:rPr>
      </w:pPr>
      <w:proofErr w:type="spellStart"/>
      <w:r w:rsidRPr="008A3E26">
        <w:rPr>
          <w:rFonts w:ascii="Tahoma" w:eastAsia="Times New Roman" w:hAnsi="Tahoma" w:cs="Tahoma"/>
          <w:b/>
          <w:bCs/>
          <w:color w:val="FF6A12"/>
          <w:sz w:val="19"/>
          <w:szCs w:val="19"/>
          <w:lang w:eastAsia="it-IT"/>
        </w:rPr>
        <w:t>Related</w:t>
      </w:r>
      <w:proofErr w:type="spellEnd"/>
    </w:p>
    <w:p w:rsidR="008A3E26" w:rsidRPr="008A3E26" w:rsidRDefault="008A3E26" w:rsidP="008A3E26">
      <w:pPr>
        <w:numPr>
          <w:ilvl w:val="0"/>
          <w:numId w:val="1"/>
        </w:numPr>
        <w:spacing w:after="0" w:line="312" w:lineRule="atLeast"/>
        <w:ind w:left="75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hyperlink r:id="rId8" w:history="1">
        <w:proofErr w:type="spellStart"/>
        <w:r w:rsidRPr="008A3E26">
          <w:rPr>
            <w:rFonts w:ascii="Arial" w:eastAsia="Times New Roman" w:hAnsi="Arial" w:cs="Arial"/>
            <w:color w:val="085A92"/>
            <w:sz w:val="24"/>
            <w:szCs w:val="24"/>
            <w:bdr w:val="none" w:sz="0" w:space="0" w:color="auto" w:frame="1"/>
            <w:lang w:eastAsia="it-IT"/>
          </w:rPr>
          <w:t>Early</w:t>
        </w:r>
        <w:proofErr w:type="spellEnd"/>
        <w:r w:rsidRPr="008A3E26">
          <w:rPr>
            <w:rFonts w:ascii="Arial" w:eastAsia="Times New Roman" w:hAnsi="Arial" w:cs="Arial"/>
            <w:color w:val="085A92"/>
            <w:sz w:val="24"/>
            <w:szCs w:val="24"/>
            <w:bdr w:val="none" w:sz="0" w:space="0" w:color="auto" w:frame="1"/>
            <w:lang w:eastAsia="it-IT"/>
          </w:rPr>
          <w:t xml:space="preserve"> </w:t>
        </w:r>
        <w:proofErr w:type="spellStart"/>
        <w:r w:rsidRPr="008A3E26">
          <w:rPr>
            <w:rFonts w:ascii="Arial" w:eastAsia="Times New Roman" w:hAnsi="Arial" w:cs="Arial"/>
            <w:color w:val="085A92"/>
            <w:sz w:val="24"/>
            <w:szCs w:val="24"/>
            <w:bdr w:val="none" w:sz="0" w:space="0" w:color="auto" w:frame="1"/>
            <w:lang w:eastAsia="it-IT"/>
          </w:rPr>
          <w:t>childhood</w:t>
        </w:r>
        <w:proofErr w:type="spellEnd"/>
        <w:r w:rsidRPr="008A3E26">
          <w:rPr>
            <w:rFonts w:ascii="Arial" w:eastAsia="Times New Roman" w:hAnsi="Arial" w:cs="Arial"/>
            <w:color w:val="085A92"/>
            <w:sz w:val="24"/>
            <w:szCs w:val="24"/>
            <w:bdr w:val="none" w:sz="0" w:space="0" w:color="auto" w:frame="1"/>
            <w:lang w:eastAsia="it-IT"/>
          </w:rPr>
          <w:t xml:space="preserve"> </w:t>
        </w:r>
        <w:proofErr w:type="spellStart"/>
        <w:r w:rsidRPr="008A3E26">
          <w:rPr>
            <w:rFonts w:ascii="Arial" w:eastAsia="Times New Roman" w:hAnsi="Arial" w:cs="Arial"/>
            <w:color w:val="085A92"/>
            <w:sz w:val="24"/>
            <w:szCs w:val="24"/>
            <w:bdr w:val="none" w:sz="0" w:space="0" w:color="auto" w:frame="1"/>
            <w:lang w:eastAsia="it-IT"/>
          </w:rPr>
          <w:t>education</w:t>
        </w:r>
        <w:proofErr w:type="spellEnd"/>
        <w:r w:rsidRPr="008A3E26">
          <w:rPr>
            <w:rFonts w:ascii="Arial" w:eastAsia="Times New Roman" w:hAnsi="Arial" w:cs="Arial"/>
            <w:color w:val="085A92"/>
            <w:sz w:val="24"/>
            <w:szCs w:val="24"/>
            <w:bdr w:val="none" w:sz="0" w:space="0" w:color="auto" w:frame="1"/>
            <w:lang w:eastAsia="it-IT"/>
          </w:rPr>
          <w:t xml:space="preserve"> and social </w:t>
        </w:r>
        <w:proofErr w:type="spellStart"/>
        <w:r w:rsidRPr="008A3E26">
          <w:rPr>
            <w:rFonts w:ascii="Arial" w:eastAsia="Times New Roman" w:hAnsi="Arial" w:cs="Arial"/>
            <w:color w:val="085A92"/>
            <w:sz w:val="24"/>
            <w:szCs w:val="24"/>
            <w:bdr w:val="none" w:sz="0" w:space="0" w:color="auto" w:frame="1"/>
            <w:lang w:eastAsia="it-IT"/>
          </w:rPr>
          <w:t>mobility</w:t>
        </w:r>
        <w:proofErr w:type="spellEnd"/>
      </w:hyperlink>
    </w:p>
    <w:p w:rsidR="008A3E26" w:rsidRPr="008A3E26" w:rsidRDefault="008A3E26" w:rsidP="008A3E26">
      <w:pPr>
        <w:spacing w:after="0" w:line="312" w:lineRule="atLeast"/>
        <w:ind w:left="75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Sneha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Elango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Jorge Luis García, James J.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Heckman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Andrés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Hojman</w:t>
      </w:r>
      <w:proofErr w:type="spellEnd"/>
    </w:p>
    <w:p w:rsidR="008A3E26" w:rsidRPr="008A3E26" w:rsidRDefault="008A3E26" w:rsidP="008A3E26">
      <w:pPr>
        <w:numPr>
          <w:ilvl w:val="0"/>
          <w:numId w:val="1"/>
        </w:numPr>
        <w:spacing w:after="0" w:line="312" w:lineRule="atLeast"/>
        <w:ind w:left="75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hyperlink r:id="rId9" w:history="1">
        <w:proofErr w:type="spellStart"/>
        <w:r w:rsidRPr="008A3E26">
          <w:rPr>
            <w:rFonts w:ascii="Arial" w:eastAsia="Times New Roman" w:hAnsi="Arial" w:cs="Arial"/>
            <w:color w:val="085A92"/>
            <w:sz w:val="24"/>
            <w:szCs w:val="24"/>
            <w:bdr w:val="none" w:sz="0" w:space="0" w:color="auto" w:frame="1"/>
            <w:lang w:eastAsia="it-IT"/>
          </w:rPr>
          <w:t>Where</w:t>
        </w:r>
        <w:proofErr w:type="spellEnd"/>
        <w:r w:rsidRPr="008A3E26">
          <w:rPr>
            <w:rFonts w:ascii="Arial" w:eastAsia="Times New Roman" w:hAnsi="Arial" w:cs="Arial"/>
            <w:color w:val="085A92"/>
            <w:sz w:val="24"/>
            <w:szCs w:val="24"/>
            <w:bdr w:val="none" w:sz="0" w:space="0" w:color="auto" w:frame="1"/>
            <w:lang w:eastAsia="it-IT"/>
          </w:rPr>
          <w:t xml:space="preserve"> </w:t>
        </w:r>
        <w:proofErr w:type="spellStart"/>
        <w:r w:rsidRPr="008A3E26">
          <w:rPr>
            <w:rFonts w:ascii="Arial" w:eastAsia="Times New Roman" w:hAnsi="Arial" w:cs="Arial"/>
            <w:color w:val="085A92"/>
            <w:sz w:val="24"/>
            <w:szCs w:val="24"/>
            <w:bdr w:val="none" w:sz="0" w:space="0" w:color="auto" w:frame="1"/>
            <w:lang w:eastAsia="it-IT"/>
          </w:rPr>
          <w:t>is</w:t>
        </w:r>
        <w:proofErr w:type="spellEnd"/>
        <w:r w:rsidRPr="008A3E26">
          <w:rPr>
            <w:rFonts w:ascii="Arial" w:eastAsia="Times New Roman" w:hAnsi="Arial" w:cs="Arial"/>
            <w:color w:val="085A92"/>
            <w:sz w:val="24"/>
            <w:szCs w:val="24"/>
            <w:bdr w:val="none" w:sz="0" w:space="0" w:color="auto" w:frame="1"/>
            <w:lang w:eastAsia="it-IT"/>
          </w:rPr>
          <w:t xml:space="preserve"> the </w:t>
        </w:r>
        <w:proofErr w:type="spellStart"/>
        <w:r w:rsidRPr="008A3E26">
          <w:rPr>
            <w:rFonts w:ascii="Arial" w:eastAsia="Times New Roman" w:hAnsi="Arial" w:cs="Arial"/>
            <w:color w:val="085A92"/>
            <w:sz w:val="24"/>
            <w:szCs w:val="24"/>
            <w:bdr w:val="none" w:sz="0" w:space="0" w:color="auto" w:frame="1"/>
            <w:lang w:eastAsia="it-IT"/>
          </w:rPr>
          <w:t>land</w:t>
        </w:r>
        <w:proofErr w:type="spellEnd"/>
        <w:r w:rsidRPr="008A3E26">
          <w:rPr>
            <w:rFonts w:ascii="Arial" w:eastAsia="Times New Roman" w:hAnsi="Arial" w:cs="Arial"/>
            <w:color w:val="085A92"/>
            <w:sz w:val="24"/>
            <w:szCs w:val="24"/>
            <w:bdr w:val="none" w:sz="0" w:space="0" w:color="auto" w:frame="1"/>
            <w:lang w:eastAsia="it-IT"/>
          </w:rPr>
          <w:t xml:space="preserve"> of </w:t>
        </w:r>
        <w:proofErr w:type="spellStart"/>
        <w:r w:rsidRPr="008A3E26">
          <w:rPr>
            <w:rFonts w:ascii="Arial" w:eastAsia="Times New Roman" w:hAnsi="Arial" w:cs="Arial"/>
            <w:color w:val="085A92"/>
            <w:sz w:val="24"/>
            <w:szCs w:val="24"/>
            <w:bdr w:val="none" w:sz="0" w:space="0" w:color="auto" w:frame="1"/>
            <w:lang w:eastAsia="it-IT"/>
          </w:rPr>
          <w:t>opportunity</w:t>
        </w:r>
        <w:proofErr w:type="spellEnd"/>
        <w:r w:rsidRPr="008A3E26">
          <w:rPr>
            <w:rFonts w:ascii="Arial" w:eastAsia="Times New Roman" w:hAnsi="Arial" w:cs="Arial"/>
            <w:color w:val="085A92"/>
            <w:sz w:val="24"/>
            <w:szCs w:val="24"/>
            <w:bdr w:val="none" w:sz="0" w:space="0" w:color="auto" w:frame="1"/>
            <w:lang w:eastAsia="it-IT"/>
          </w:rPr>
          <w:t xml:space="preserve">? </w:t>
        </w:r>
        <w:proofErr w:type="spellStart"/>
        <w:r w:rsidRPr="008A3E26">
          <w:rPr>
            <w:rFonts w:ascii="Arial" w:eastAsia="Times New Roman" w:hAnsi="Arial" w:cs="Arial"/>
            <w:color w:val="085A92"/>
            <w:sz w:val="24"/>
            <w:szCs w:val="24"/>
            <w:bdr w:val="none" w:sz="0" w:space="0" w:color="auto" w:frame="1"/>
            <w:lang w:eastAsia="it-IT"/>
          </w:rPr>
          <w:t>Intergenerational</w:t>
        </w:r>
        <w:proofErr w:type="spellEnd"/>
        <w:r w:rsidRPr="008A3E26">
          <w:rPr>
            <w:rFonts w:ascii="Arial" w:eastAsia="Times New Roman" w:hAnsi="Arial" w:cs="Arial"/>
            <w:color w:val="085A92"/>
            <w:sz w:val="24"/>
            <w:szCs w:val="24"/>
            <w:bdr w:val="none" w:sz="0" w:space="0" w:color="auto" w:frame="1"/>
            <w:lang w:eastAsia="it-IT"/>
          </w:rPr>
          <w:t xml:space="preserve"> </w:t>
        </w:r>
        <w:proofErr w:type="spellStart"/>
        <w:r w:rsidRPr="008A3E26">
          <w:rPr>
            <w:rFonts w:ascii="Arial" w:eastAsia="Times New Roman" w:hAnsi="Arial" w:cs="Arial"/>
            <w:color w:val="085A92"/>
            <w:sz w:val="24"/>
            <w:szCs w:val="24"/>
            <w:bdr w:val="none" w:sz="0" w:space="0" w:color="auto" w:frame="1"/>
            <w:lang w:eastAsia="it-IT"/>
          </w:rPr>
          <w:t>mobility</w:t>
        </w:r>
        <w:proofErr w:type="spellEnd"/>
        <w:r w:rsidRPr="008A3E26">
          <w:rPr>
            <w:rFonts w:ascii="Arial" w:eastAsia="Times New Roman" w:hAnsi="Arial" w:cs="Arial"/>
            <w:color w:val="085A92"/>
            <w:sz w:val="24"/>
            <w:szCs w:val="24"/>
            <w:bdr w:val="none" w:sz="0" w:space="0" w:color="auto" w:frame="1"/>
            <w:lang w:eastAsia="it-IT"/>
          </w:rPr>
          <w:t xml:space="preserve"> in the US</w:t>
        </w:r>
      </w:hyperlink>
    </w:p>
    <w:p w:rsidR="008A3E26" w:rsidRPr="008A3E26" w:rsidRDefault="008A3E26" w:rsidP="008A3E26">
      <w:pPr>
        <w:spacing w:after="0" w:line="312" w:lineRule="atLeast"/>
        <w:ind w:left="75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Raj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Chetty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Nathaniel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Hendren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Patrick Kline, Emmanuel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Saez</w:t>
      </w:r>
      <w:proofErr w:type="spellEnd"/>
    </w:p>
    <w:p w:rsidR="008A3E26" w:rsidRPr="008A3E26" w:rsidRDefault="008A3E26" w:rsidP="008A3E26">
      <w:pPr>
        <w:numPr>
          <w:ilvl w:val="0"/>
          <w:numId w:val="1"/>
        </w:numPr>
        <w:spacing w:after="0" w:line="312" w:lineRule="atLeast"/>
        <w:ind w:left="75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hyperlink r:id="rId10" w:history="1">
        <w:r w:rsidRPr="008A3E26">
          <w:rPr>
            <w:rFonts w:ascii="Arial" w:eastAsia="Times New Roman" w:hAnsi="Arial" w:cs="Arial"/>
            <w:color w:val="085A92"/>
            <w:sz w:val="24"/>
            <w:szCs w:val="24"/>
            <w:bdr w:val="none" w:sz="0" w:space="0" w:color="auto" w:frame="1"/>
            <w:lang w:eastAsia="it-IT"/>
          </w:rPr>
          <w:t xml:space="preserve">Estate </w:t>
        </w:r>
        <w:proofErr w:type="spellStart"/>
        <w:r w:rsidRPr="008A3E26">
          <w:rPr>
            <w:rFonts w:ascii="Arial" w:eastAsia="Times New Roman" w:hAnsi="Arial" w:cs="Arial"/>
            <w:color w:val="085A92"/>
            <w:sz w:val="24"/>
            <w:szCs w:val="24"/>
            <w:bdr w:val="none" w:sz="0" w:space="0" w:color="auto" w:frame="1"/>
            <w:lang w:eastAsia="it-IT"/>
          </w:rPr>
          <w:t>taxation</w:t>
        </w:r>
        <w:proofErr w:type="spellEnd"/>
        <w:r w:rsidRPr="008A3E26">
          <w:rPr>
            <w:rFonts w:ascii="Arial" w:eastAsia="Times New Roman" w:hAnsi="Arial" w:cs="Arial"/>
            <w:color w:val="085A92"/>
            <w:sz w:val="24"/>
            <w:szCs w:val="24"/>
            <w:bdr w:val="none" w:sz="0" w:space="0" w:color="auto" w:frame="1"/>
            <w:lang w:eastAsia="it-IT"/>
          </w:rPr>
          <w:t xml:space="preserve"> and </w:t>
        </w:r>
        <w:proofErr w:type="spellStart"/>
        <w:r w:rsidRPr="008A3E26">
          <w:rPr>
            <w:rFonts w:ascii="Arial" w:eastAsia="Times New Roman" w:hAnsi="Arial" w:cs="Arial"/>
            <w:color w:val="085A92"/>
            <w:sz w:val="24"/>
            <w:szCs w:val="24"/>
            <w:bdr w:val="none" w:sz="0" w:space="0" w:color="auto" w:frame="1"/>
            <w:lang w:eastAsia="it-IT"/>
          </w:rPr>
          <w:t>intergenerational</w:t>
        </w:r>
        <w:proofErr w:type="spellEnd"/>
        <w:r w:rsidRPr="008A3E26">
          <w:rPr>
            <w:rFonts w:ascii="Arial" w:eastAsia="Times New Roman" w:hAnsi="Arial" w:cs="Arial"/>
            <w:color w:val="085A92"/>
            <w:sz w:val="24"/>
            <w:szCs w:val="24"/>
            <w:bdr w:val="none" w:sz="0" w:space="0" w:color="auto" w:frame="1"/>
            <w:lang w:eastAsia="it-IT"/>
          </w:rPr>
          <w:t xml:space="preserve"> </w:t>
        </w:r>
        <w:proofErr w:type="spellStart"/>
        <w:r w:rsidRPr="008A3E26">
          <w:rPr>
            <w:rFonts w:ascii="Arial" w:eastAsia="Times New Roman" w:hAnsi="Arial" w:cs="Arial"/>
            <w:color w:val="085A92"/>
            <w:sz w:val="24"/>
            <w:szCs w:val="24"/>
            <w:bdr w:val="none" w:sz="0" w:space="0" w:color="auto" w:frame="1"/>
            <w:lang w:eastAsia="it-IT"/>
          </w:rPr>
          <w:t>transfers</w:t>
        </w:r>
        <w:proofErr w:type="spellEnd"/>
        <w:r w:rsidRPr="008A3E26">
          <w:rPr>
            <w:rFonts w:ascii="Arial" w:eastAsia="Times New Roman" w:hAnsi="Arial" w:cs="Arial"/>
            <w:color w:val="085A92"/>
            <w:sz w:val="24"/>
            <w:szCs w:val="24"/>
            <w:bdr w:val="none" w:sz="0" w:space="0" w:color="auto" w:frame="1"/>
            <w:lang w:eastAsia="it-IT"/>
          </w:rPr>
          <w:t xml:space="preserve">: New </w:t>
        </w:r>
        <w:proofErr w:type="spellStart"/>
        <w:r w:rsidRPr="008A3E26">
          <w:rPr>
            <w:rFonts w:ascii="Arial" w:eastAsia="Times New Roman" w:hAnsi="Arial" w:cs="Arial"/>
            <w:color w:val="085A92"/>
            <w:sz w:val="24"/>
            <w:szCs w:val="24"/>
            <w:bdr w:val="none" w:sz="0" w:space="0" w:color="auto" w:frame="1"/>
            <w:lang w:eastAsia="it-IT"/>
          </w:rPr>
          <w:t>evidence</w:t>
        </w:r>
        <w:proofErr w:type="spellEnd"/>
        <w:r w:rsidRPr="008A3E26">
          <w:rPr>
            <w:rFonts w:ascii="Arial" w:eastAsia="Times New Roman" w:hAnsi="Arial" w:cs="Arial"/>
            <w:color w:val="085A92"/>
            <w:sz w:val="24"/>
            <w:szCs w:val="24"/>
            <w:bdr w:val="none" w:sz="0" w:space="0" w:color="auto" w:frame="1"/>
            <w:lang w:eastAsia="it-IT"/>
          </w:rPr>
          <w:t xml:space="preserve"> from </w:t>
        </w:r>
        <w:proofErr w:type="spellStart"/>
        <w:r w:rsidRPr="008A3E26">
          <w:rPr>
            <w:rFonts w:ascii="Arial" w:eastAsia="Times New Roman" w:hAnsi="Arial" w:cs="Arial"/>
            <w:color w:val="085A92"/>
            <w:sz w:val="24"/>
            <w:szCs w:val="24"/>
            <w:bdr w:val="none" w:sz="0" w:space="0" w:color="auto" w:frame="1"/>
            <w:lang w:eastAsia="it-IT"/>
          </w:rPr>
          <w:t>Italy</w:t>
        </w:r>
        <w:proofErr w:type="spellEnd"/>
      </w:hyperlink>
    </w:p>
    <w:p w:rsidR="008A3E26" w:rsidRPr="008A3E26" w:rsidRDefault="008A3E26" w:rsidP="008A3E26">
      <w:pPr>
        <w:spacing w:after="0" w:line="312" w:lineRule="atLeast"/>
        <w:ind w:left="75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Tullio Jappelli, Mario Padula, Giovanni Pica</w:t>
      </w:r>
    </w:p>
    <w:p w:rsidR="008A3E26" w:rsidRPr="008A3E26" w:rsidRDefault="008A3E26" w:rsidP="008A3E26">
      <w:pPr>
        <w:numPr>
          <w:ilvl w:val="0"/>
          <w:numId w:val="1"/>
        </w:numPr>
        <w:spacing w:after="0" w:line="312" w:lineRule="atLeast"/>
        <w:ind w:left="75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hyperlink r:id="rId11" w:history="1">
        <w:proofErr w:type="spellStart"/>
        <w:r w:rsidRPr="008A3E26">
          <w:rPr>
            <w:rFonts w:ascii="Arial" w:eastAsia="Times New Roman" w:hAnsi="Arial" w:cs="Arial"/>
            <w:color w:val="085A92"/>
            <w:sz w:val="24"/>
            <w:szCs w:val="24"/>
            <w:bdr w:val="none" w:sz="0" w:space="0" w:color="auto" w:frame="1"/>
            <w:lang w:eastAsia="it-IT"/>
          </w:rPr>
          <w:t>Intergenerational</w:t>
        </w:r>
        <w:proofErr w:type="spellEnd"/>
        <w:r w:rsidRPr="008A3E26">
          <w:rPr>
            <w:rFonts w:ascii="Arial" w:eastAsia="Times New Roman" w:hAnsi="Arial" w:cs="Arial"/>
            <w:color w:val="085A92"/>
            <w:sz w:val="24"/>
            <w:szCs w:val="24"/>
            <w:bdr w:val="none" w:sz="0" w:space="0" w:color="auto" w:frame="1"/>
            <w:lang w:eastAsia="it-IT"/>
          </w:rPr>
          <w:t xml:space="preserve"> payoffs from </w:t>
        </w:r>
        <w:proofErr w:type="spellStart"/>
        <w:r w:rsidRPr="008A3E26">
          <w:rPr>
            <w:rFonts w:ascii="Arial" w:eastAsia="Times New Roman" w:hAnsi="Arial" w:cs="Arial"/>
            <w:color w:val="085A92"/>
            <w:sz w:val="24"/>
            <w:szCs w:val="24"/>
            <w:bdr w:val="none" w:sz="0" w:space="0" w:color="auto" w:frame="1"/>
            <w:lang w:eastAsia="it-IT"/>
          </w:rPr>
          <w:t>mothers</w:t>
        </w:r>
        <w:proofErr w:type="spellEnd"/>
        <w:r w:rsidRPr="008A3E26">
          <w:rPr>
            <w:rFonts w:ascii="Arial" w:eastAsia="Times New Roman" w:hAnsi="Arial" w:cs="Arial"/>
            <w:color w:val="085A92"/>
            <w:sz w:val="24"/>
            <w:szCs w:val="24"/>
            <w:bdr w:val="none" w:sz="0" w:space="0" w:color="auto" w:frame="1"/>
            <w:lang w:eastAsia="it-IT"/>
          </w:rPr>
          <w:t xml:space="preserve">’ </w:t>
        </w:r>
        <w:proofErr w:type="spellStart"/>
        <w:r w:rsidRPr="008A3E26">
          <w:rPr>
            <w:rFonts w:ascii="Arial" w:eastAsia="Times New Roman" w:hAnsi="Arial" w:cs="Arial"/>
            <w:color w:val="085A92"/>
            <w:sz w:val="24"/>
            <w:szCs w:val="24"/>
            <w:bdr w:val="none" w:sz="0" w:space="0" w:color="auto" w:frame="1"/>
            <w:lang w:eastAsia="it-IT"/>
          </w:rPr>
          <w:t>education</w:t>
        </w:r>
        <w:proofErr w:type="spellEnd"/>
      </w:hyperlink>
    </w:p>
    <w:p w:rsidR="008A3E26" w:rsidRPr="008A3E26" w:rsidRDefault="008A3E26" w:rsidP="008A3E26">
      <w:pPr>
        <w:spacing w:after="150" w:line="312" w:lineRule="atLeast"/>
        <w:ind w:left="75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Pedro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Carneiro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Costas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Meghir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Matthias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Parey</w:t>
      </w:r>
      <w:proofErr w:type="spellEnd"/>
    </w:p>
    <w:p w:rsidR="008A3E26" w:rsidRPr="008A3E26" w:rsidRDefault="008A3E26" w:rsidP="008A3E26">
      <w:pPr>
        <w:spacing w:before="240" w:after="240" w:line="31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Intergenerational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mobility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concerned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with the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relationship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between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the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socioeconomic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status of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parents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and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that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of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their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children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adults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Societies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characterised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by a high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transmission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of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socioeconomic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status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across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generations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are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not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only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more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likely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to be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perceived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‘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unfair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’,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they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may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also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be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less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efficient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they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waste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the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talents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and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skills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of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those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coming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from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disadvantaged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backgrounds.</w:t>
      </w:r>
    </w:p>
    <w:p w:rsidR="008A3E26" w:rsidRPr="008A3E26" w:rsidRDefault="008A3E26" w:rsidP="008A3E26">
      <w:pPr>
        <w:spacing w:before="240" w:after="240" w:line="31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Mobility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commonly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measured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by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intergenerational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elasticity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which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the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correlation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between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paternal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status and a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son’s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adult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status. The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higher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the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elasticity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the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lower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the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mobility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For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example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in the case of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earnings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current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elasticity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estimates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broadly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range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from under 0.2 in the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Scandinavian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countries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to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almost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0.5 in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Italy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UK, and the US (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Corak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2013).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Most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scholars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who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have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empirically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studied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intergenerational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mobility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have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focused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on the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correlation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socioeconomic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status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between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two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successive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generations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–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parents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and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their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children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– and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have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shared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 common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view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that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the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economic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advantages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and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disadvantages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of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ancestors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vanish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 a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few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generations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For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example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Becker and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Tomes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 xml:space="preserve">(1986)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argue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that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“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almost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all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the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earnings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advantages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or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disadvantages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of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ancestors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are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wiped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out in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three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generations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”.</w:t>
      </w:r>
    </w:p>
    <w:p w:rsidR="008A3E26" w:rsidRPr="008A3E26" w:rsidRDefault="008A3E26" w:rsidP="008A3E26">
      <w:pPr>
        <w:spacing w:before="240" w:after="240" w:line="31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In a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recent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paper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we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challenge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this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view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(Barone and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Mocetti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2016).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We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focus on the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Italian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city of Florence, for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which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data on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taxpayers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 1427 –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including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surnames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occupations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earnings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and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wealth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–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have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been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digitalised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and made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available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online.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We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matched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these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data with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those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taken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from the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tax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records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relating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to the city of Florence in 2011. Family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dynasties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are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identified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by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surnames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Table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1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offers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 first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flavour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of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our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results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We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report for the top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five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and bottom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five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earners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among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current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taxpayers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(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at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the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surname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level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) the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modal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value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of the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occupation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and the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percentiles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 the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earnings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and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wealth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distribution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 the 15th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century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(the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surnames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are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replaced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by capital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letters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for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confidentiality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). The top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earners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among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the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current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taxpayers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were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already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at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the top of the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socioeconomic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ladder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six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centuries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ago –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they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were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lawyers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or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members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of the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wool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silk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and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shoemaker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guilds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;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their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earnings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and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wealth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were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always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above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the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median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In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contrast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the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poorest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surnames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had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less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prestigious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occupations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and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their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earnings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and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wealth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were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below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the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median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most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cases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8A3E26" w:rsidRPr="008A3E26" w:rsidRDefault="008A3E26" w:rsidP="008A3E26">
      <w:pPr>
        <w:spacing w:after="0" w:line="31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8A3E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Table</w:t>
      </w:r>
      <w:proofErr w:type="spellEnd"/>
      <w:r w:rsidRPr="008A3E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 1</w:t>
      </w:r>
    </w:p>
    <w:p w:rsidR="008A3E26" w:rsidRPr="008A3E26" w:rsidRDefault="008A3E26" w:rsidP="008A3E26">
      <w:pPr>
        <w:spacing w:after="0" w:line="31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A3E26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bdr w:val="none" w:sz="0" w:space="0" w:color="auto" w:frame="1"/>
          <w:lang w:eastAsia="it-IT"/>
        </w:rPr>
        <w:drawing>
          <wp:inline distT="0" distB="0" distL="0" distR="0" wp14:anchorId="2CB45738" wp14:editId="782C62E1">
            <wp:extent cx="5476875" cy="3076575"/>
            <wp:effectExtent l="0" t="0" r="9525" b="9525"/>
            <wp:docPr id="1" name="Immagine 1" descr="http://voxeu.org/sites/default/files/image/FromMay2014/baronefi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xeu.org/sites/default/files/image/FromMay2014/baronefig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E26" w:rsidRPr="008A3E26" w:rsidRDefault="008A3E26" w:rsidP="008A3E26">
      <w:pPr>
        <w:spacing w:before="240" w:after="240" w:line="31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More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rigorous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empirical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analysis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confirms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this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evidence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When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regressing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the pseudo-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descendant’s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earnings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on pseudo-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ancestor’s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earnings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the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results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are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surprising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 the long-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run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earnings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elasticity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positive,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statistically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significant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and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equals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about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0.04.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Stated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differently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being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the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descendants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of the Bernardi family (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at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the 90th percentile of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earnings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distribution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 1427)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instead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of the Grasso family (10th percentile of the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same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distribution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)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would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entail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 5%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increase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earnings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among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current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taxpayers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(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after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adjusting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for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age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and gender).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Intergenerational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real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wealth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elasticity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significant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too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and the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magnitude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of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its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implied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effect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even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larger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: the 10th-90th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exercise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entails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more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than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 10%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difference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today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Looking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for non-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linearities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we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find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in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particular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some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evidence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of the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existence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of a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glass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floor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that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protects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the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descendants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of the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upper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class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from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falling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down the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economic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ladder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8A3E26" w:rsidRPr="008A3E26" w:rsidRDefault="008A3E26" w:rsidP="008A3E26">
      <w:pPr>
        <w:spacing w:before="240" w:after="240" w:line="31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>These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results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are new and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remarkable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and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suggest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that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socioeconomic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persistence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significant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over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six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centuries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These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results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are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even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more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surprising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if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we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consider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the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huge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political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demographic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and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economic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upheavals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that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have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occurred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over a so long a time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span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(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see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Figure 1), and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that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were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not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able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to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untie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the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Gordian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knot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of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socioeconomic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inheritance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8A3E26" w:rsidRPr="008A3E26" w:rsidRDefault="008A3E26" w:rsidP="008A3E26">
      <w:pPr>
        <w:spacing w:after="0" w:line="31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A3E2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Figure 1</w:t>
      </w:r>
    </w:p>
    <w:p w:rsidR="008A3E26" w:rsidRPr="008A3E26" w:rsidRDefault="008A3E26" w:rsidP="008A3E26">
      <w:pPr>
        <w:spacing w:after="0" w:line="31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A3E26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bdr w:val="none" w:sz="0" w:space="0" w:color="auto" w:frame="1"/>
          <w:lang w:eastAsia="it-IT"/>
        </w:rPr>
        <w:drawing>
          <wp:inline distT="0" distB="0" distL="0" distR="0" wp14:anchorId="1D82D118" wp14:editId="661D22C8">
            <wp:extent cx="6448425" cy="2324100"/>
            <wp:effectExtent l="0" t="0" r="9525" b="0"/>
            <wp:docPr id="2" name="Immagine 2" descr="http://voxeu.org/sites/default/files/image/FromMay2014/baronefi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oxeu.org/sites/default/files/image/FromMay2014/baronefig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E26" w:rsidRPr="008A3E26" w:rsidRDefault="008A3E26" w:rsidP="008A3E26">
      <w:pPr>
        <w:spacing w:after="0" w:line="31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A3E26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Note</w:t>
      </w:r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: Florence </w:t>
      </w:r>
      <w:proofErr w:type="spellStart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passed</w:t>
      </w:r>
      <w:proofErr w:type="spellEnd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from </w:t>
      </w:r>
      <w:proofErr w:type="spellStart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being</w:t>
      </w:r>
      <w:proofErr w:type="spellEnd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the capital city of a small city-state (figure a) to a city </w:t>
      </w:r>
      <w:proofErr w:type="spellStart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within</w:t>
      </w:r>
      <w:proofErr w:type="spellEnd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a </w:t>
      </w:r>
      <w:proofErr w:type="spellStart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larger</w:t>
      </w:r>
      <w:proofErr w:type="spellEnd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State (with the </w:t>
      </w:r>
      <w:proofErr w:type="spellStart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Italian</w:t>
      </w:r>
      <w:proofErr w:type="spellEnd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unification</w:t>
      </w:r>
      <w:proofErr w:type="spellEnd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in 1861), </w:t>
      </w:r>
      <w:proofErr w:type="spellStart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whose</w:t>
      </w:r>
      <w:proofErr w:type="spellEnd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capital city </w:t>
      </w:r>
      <w:proofErr w:type="spellStart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is</w:t>
      </w:r>
      <w:proofErr w:type="spellEnd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located</w:t>
      </w:r>
      <w:proofErr w:type="spellEnd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elsewhere</w:t>
      </w:r>
      <w:proofErr w:type="spellEnd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. </w:t>
      </w:r>
      <w:proofErr w:type="spellStart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Regarding</w:t>
      </w:r>
      <w:proofErr w:type="spellEnd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demography</w:t>
      </w:r>
      <w:proofErr w:type="spellEnd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and GDP per capita, </w:t>
      </w:r>
      <w:proofErr w:type="spellStart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they</w:t>
      </w:r>
      <w:proofErr w:type="spellEnd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were</w:t>
      </w:r>
      <w:proofErr w:type="spellEnd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fairly</w:t>
      </w:r>
      <w:proofErr w:type="spellEnd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stable</w:t>
      </w:r>
      <w:proofErr w:type="spellEnd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between</w:t>
      </w:r>
      <w:proofErr w:type="spellEnd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1400 and 1800 and </w:t>
      </w:r>
      <w:proofErr w:type="spellStart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experienced</w:t>
      </w:r>
      <w:proofErr w:type="spellEnd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a </w:t>
      </w:r>
      <w:proofErr w:type="spellStart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huge</w:t>
      </w:r>
      <w:proofErr w:type="spellEnd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increase</w:t>
      </w:r>
      <w:proofErr w:type="spellEnd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in the 19th and 20th </w:t>
      </w:r>
      <w:proofErr w:type="spellStart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Centuries</w:t>
      </w:r>
      <w:proofErr w:type="spellEnd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(</w:t>
      </w:r>
      <w:proofErr w:type="spellStart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figures</w:t>
      </w:r>
      <w:proofErr w:type="spellEnd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b and c); </w:t>
      </w:r>
      <w:proofErr w:type="spellStart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figures</w:t>
      </w:r>
      <w:proofErr w:type="spellEnd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for </w:t>
      </w:r>
      <w:proofErr w:type="spellStart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population</w:t>
      </w:r>
      <w:proofErr w:type="spellEnd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and GDP per capita are </w:t>
      </w:r>
      <w:proofErr w:type="spellStart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authors</w:t>
      </w:r>
      <w:proofErr w:type="spellEnd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’ </w:t>
      </w:r>
      <w:proofErr w:type="spellStart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elaborations</w:t>
      </w:r>
      <w:proofErr w:type="spellEnd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on data </w:t>
      </w:r>
      <w:proofErr w:type="spellStart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drawn</w:t>
      </w:r>
      <w:proofErr w:type="spellEnd"/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from </w:t>
      </w:r>
      <w:hyperlink r:id="rId14" w:history="1">
        <w:r w:rsidRPr="008A3E26">
          <w:rPr>
            <w:rFonts w:ascii="Arial" w:eastAsia="Times New Roman" w:hAnsi="Arial" w:cs="Arial"/>
            <w:color w:val="085A92"/>
            <w:sz w:val="20"/>
            <w:szCs w:val="20"/>
            <w:bdr w:val="none" w:sz="0" w:space="0" w:color="auto" w:frame="1"/>
            <w:lang w:eastAsia="it-IT"/>
          </w:rPr>
          <w:t>http://www.paolomalanima.it/</w:t>
        </w:r>
      </w:hyperlink>
      <w:r w:rsidRPr="008A3E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.</w:t>
      </w:r>
    </w:p>
    <w:p w:rsidR="008A3E26" w:rsidRPr="008A3E26" w:rsidRDefault="008A3E26" w:rsidP="008A3E26">
      <w:pPr>
        <w:spacing w:before="240" w:after="240" w:line="31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One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might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wonder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whether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these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results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can be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generalised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to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other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societies. Florence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does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not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seem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polar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case in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terms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of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economic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development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and (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static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and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dynamic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)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inequality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Hence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we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argue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that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our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results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can be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thoughtfully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extended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to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other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advanced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countries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of the Western Europe.</w:t>
      </w:r>
    </w:p>
    <w:p w:rsidR="008A3E26" w:rsidRPr="008A3E26" w:rsidRDefault="008A3E26" w:rsidP="008A3E26">
      <w:pPr>
        <w:spacing w:before="240" w:after="240" w:line="31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We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also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find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two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further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interesting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pieces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of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evidence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First,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we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show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that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intergenerational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mobility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 the 15th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century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was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much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lower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than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at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present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– the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intergenerational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earnings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elasticity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between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two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successive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generations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was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estimated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to be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between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0.8 and 0.9,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thus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depicting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 quasi-immobile society in 1427.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It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plausible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though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we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do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not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have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direct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evidence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for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this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that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earning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elasticity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was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close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to 1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until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the 20th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century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(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before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the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Italian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industrial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revolution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and mass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schooling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) and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lower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 the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subsequent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period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This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may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explain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why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we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still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find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some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degree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of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inheritance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of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socioeconomic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status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after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six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centuries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8A3E26" w:rsidRPr="008A3E26" w:rsidRDefault="008A3E26" w:rsidP="008A3E26">
      <w:pPr>
        <w:spacing w:before="240" w:after="240" w:line="31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Second,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we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find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evidence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of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dynasties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certain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(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elite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)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professions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– the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probability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of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belonging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to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such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professions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(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lawyers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bankers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medical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doctor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or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pharmacist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goldsmiths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)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today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higher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the more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intensely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the pseudo-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ancestors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were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employed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 the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same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professions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This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latter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result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consistent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with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our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baseline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evidence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on the long-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run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persistence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of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socioeconomic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status,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particularly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at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the top of the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economic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ladder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Moreover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it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also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highlights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potential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channel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of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inheritance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related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to the market and non-market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mechanisms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governing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access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to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certain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professions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8A3E26" w:rsidRPr="008A3E26" w:rsidRDefault="008A3E26" w:rsidP="008A3E26">
      <w:pPr>
        <w:spacing w:before="60"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85A92"/>
          <w:sz w:val="29"/>
          <w:szCs w:val="29"/>
          <w:lang w:eastAsia="it-IT"/>
        </w:rPr>
      </w:pPr>
      <w:proofErr w:type="spellStart"/>
      <w:r w:rsidRPr="008A3E26">
        <w:rPr>
          <w:rFonts w:ascii="Arial" w:eastAsia="Times New Roman" w:hAnsi="Arial" w:cs="Arial"/>
          <w:b/>
          <w:bCs/>
          <w:color w:val="085A92"/>
          <w:sz w:val="29"/>
          <w:szCs w:val="29"/>
          <w:lang w:eastAsia="it-IT"/>
        </w:rPr>
        <w:lastRenderedPageBreak/>
        <w:t>References</w:t>
      </w:r>
      <w:proofErr w:type="spellEnd"/>
    </w:p>
    <w:p w:rsidR="008A3E26" w:rsidRPr="008A3E26" w:rsidRDefault="008A3E26" w:rsidP="008A3E26">
      <w:pPr>
        <w:spacing w:before="240" w:after="240" w:line="31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Barone, G and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Mocetti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S (2016) “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Intergenerational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mobility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 the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very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long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run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: Florence 1427-2011”,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Bank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of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Italy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working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papers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1060.</w:t>
      </w:r>
    </w:p>
    <w:p w:rsidR="008A3E26" w:rsidRPr="008A3E26" w:rsidRDefault="008A3E26" w:rsidP="008A3E26">
      <w:pPr>
        <w:spacing w:after="0" w:line="31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Becker, G S and N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Tomes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(1986) “Human capital and the rise and the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fall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of families”, </w:t>
      </w:r>
      <w:r w:rsidRPr="008A3E2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Journal of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Labor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Economics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4: 1-39.</w:t>
      </w:r>
    </w:p>
    <w:p w:rsidR="008A3E26" w:rsidRPr="008A3E26" w:rsidRDefault="008A3E26" w:rsidP="008A3E26">
      <w:pPr>
        <w:spacing w:after="0" w:line="31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Corak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M (2013) “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Income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inequality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equality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of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opportunity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and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intergenerational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mobility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”, </w:t>
      </w:r>
      <w:r w:rsidRPr="008A3E2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Journal of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Economic</w:t>
      </w:r>
      <w:proofErr w:type="spellEnd"/>
      <w:r w:rsidRPr="008A3E2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8A3E2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Perspectives</w:t>
      </w:r>
      <w:proofErr w:type="spellEnd"/>
      <w:r w:rsidRPr="008A3E2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27: 79-102.</w:t>
      </w:r>
    </w:p>
    <w:p w:rsidR="00BA5D7E" w:rsidRDefault="00BA5D7E">
      <w:bookmarkStart w:id="0" w:name="_GoBack"/>
      <w:bookmarkEnd w:id="0"/>
    </w:p>
    <w:sectPr w:rsidR="00BA5D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86F66"/>
    <w:multiLevelType w:val="multilevel"/>
    <w:tmpl w:val="B7D8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26"/>
    <w:rsid w:val="0051123B"/>
    <w:rsid w:val="008A3E26"/>
    <w:rsid w:val="00BA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C1F94-CAD3-4A1B-9C0D-11162D01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5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995">
          <w:marLeft w:val="0"/>
          <w:marRight w:val="0"/>
          <w:marTop w:val="0"/>
          <w:marBottom w:val="0"/>
          <w:divBdr>
            <w:top w:val="single" w:sz="6" w:space="3" w:color="CCCCCC"/>
            <w:left w:val="none" w:sz="0" w:space="3" w:color="auto"/>
            <w:bottom w:val="single" w:sz="6" w:space="3" w:color="CCCCCC"/>
            <w:right w:val="none" w:sz="0" w:space="3" w:color="auto"/>
          </w:divBdr>
          <w:divsChild>
            <w:div w:id="583801041">
              <w:marLeft w:val="0"/>
              <w:marRight w:val="0"/>
              <w:marTop w:val="13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36224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03429">
          <w:marLeft w:val="15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557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8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8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9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5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6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18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8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46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02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9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xeu.org/article/early-childhood-education-and-social-mobility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voxeu.org/article/what-s-your-surname-intergenerational-mobility-over-six-centuries?ftcamp=crm/email//nbe/FirstFTAsia/product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oxeu.org/article/what-s-your-surname-intergenerational-mobility-over-six-centuries?ftcamp=crm/email//nbe/FirstFTAsia/product" TargetMode="External"/><Relationship Id="rId11" Type="http://schemas.openxmlformats.org/officeDocument/2006/relationships/hyperlink" Target="http://voxeu.org/article/intergenerational-payoffs-mothers-education" TargetMode="External"/><Relationship Id="rId5" Type="http://schemas.openxmlformats.org/officeDocument/2006/relationships/hyperlink" Target="http://voxeu.org/article/what-s-your-surname-intergenerational-mobility-over-six-centuries?ftcamp=crm/email//nbe/FirstFTAsia/produc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voxeu.org/article/estate-taxation-and-intergenerational-transfers-new-evidence-ita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xeu.org/article/where-land-opportunity-intergenerational-mobility-us" TargetMode="External"/><Relationship Id="rId14" Type="http://schemas.openxmlformats.org/officeDocument/2006/relationships/hyperlink" Target="http://www.paolomalanim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1352</Words>
  <Characters>7044</Characters>
  <Application>Microsoft Office Word</Application>
  <DocSecurity>0</DocSecurity>
  <Lines>113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bertone</dc:creator>
  <cp:keywords/>
  <dc:description/>
  <cp:lastModifiedBy>ugo bertone</cp:lastModifiedBy>
  <cp:revision>1</cp:revision>
  <dcterms:created xsi:type="dcterms:W3CDTF">2016-05-18T05:37:00Z</dcterms:created>
  <dcterms:modified xsi:type="dcterms:W3CDTF">2016-05-18T05:38:00Z</dcterms:modified>
</cp:coreProperties>
</file>